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e"/>
        <w:bidi w:val="0"/>
        <w:jc w:val="left"/>
        <w:rPr>
          <w:rFonts w:eastAsia="Times New Roman"/>
          <w:color w:val="000000"/>
        </w:rPr>
      </w:pPr>
      <w:r>
        <w:rPr>
          <w:rFonts w:eastAsia="Times New Roman"/>
          <w:color w:val="000000"/>
        </w:rPr>
        <w:t>Il D.Lgs. 33/2013 (Decreto trasparenza), come modificato dal D.Lgs. 97/2016, prevede (art. 5, comma 1 e comma 2) due tipi di accesso, che pertanto si aggiungono all'accesso documentale disciplinato dal capo V della L. 241/1990: l'accesso civico e l'accesso civico generalizzato.</w:t>
      </w:r>
    </w:p>
    <w:p>
      <w:pPr>
        <w:pStyle w:val="Normale"/>
        <w:bidi w:val="0"/>
        <w:jc w:val="left"/>
        <w:rPr/>
      </w:pPr>
      <w:r>
        <w:rPr>
          <w:rStyle w:val="Carpredefinitoparagrafo"/>
          <w:rFonts w:eastAsia="Times New Roman"/>
          <w:b/>
          <w:bCs/>
          <w:color w:val="000000"/>
        </w:rPr>
        <w:t>ACCESSO CIVICO GENERALIZZATO</w:t>
      </w:r>
      <w:r>
        <w:rPr>
          <w:rStyle w:val="Carpredefinitoparagrafo"/>
          <w:rFonts w:eastAsia="Times New Roman"/>
          <w:color w:val="000000"/>
        </w:rPr>
        <w:br/>
        <w:t>(art.5, comma 2, D.Lgs. 33/2013)</w:t>
      </w:r>
    </w:p>
    <w:p>
      <w:pPr>
        <w:pStyle w:val="Normale"/>
        <w:bidi w:val="0"/>
        <w:jc w:val="left"/>
        <w:rPr>
          <w:rFonts w:eastAsia="Times New Roman"/>
          <w:color w:val="000000"/>
        </w:rPr>
      </w:pPr>
      <w:r>
        <w:rPr>
          <w:rFonts w:eastAsia="Times New Roman"/>
          <w:color w:val="000000"/>
        </w:rPr>
        <w:t>L'accesso civico generalizzato è il diritto per chiunque di richiedere dati e documenti detenuti dalle pubbliche amministrazioni, ulteriori rispetto a quelli oggetto di pubblicazione.</w:t>
      </w:r>
    </w:p>
    <w:p>
      <w:pPr>
        <w:pStyle w:val="Normale"/>
        <w:bidi w:val="0"/>
        <w:jc w:val="left"/>
        <w:rPr/>
      </w:pPr>
      <w:r>
        <w:rPr>
          <w:rStyle w:val="Carpredefinitoparagrafo"/>
          <w:rFonts w:eastAsia="Times New Roman"/>
          <w:color w:val="000000"/>
        </w:rPr>
        <w:t xml:space="preserve">Il diritto all'accesso civico generalizzato è esercitabile nel rispetto delle eccezioni e dei limiti relativi alla tutela di interessi pubblici e privati giuridicamente rilevanti previsti dall'art.5 bis del D.Lgs. n.33/2013, come modificato dal D.Lgs. n. 97/2016, e sui quali sono intervenute le </w:t>
      </w:r>
      <w:hyperlink r:id="rId2" w:tgtFrame="_top">
        <w:r>
          <w:rPr>
            <w:rStyle w:val="CollegamentoInternet"/>
            <w:rFonts w:eastAsia="Times New Roman"/>
            <w:color w:val="174899"/>
          </w:rPr>
          <w:t>linee guida dell'ANAC</w:t>
        </w:r>
      </w:hyperlink>
      <w:r>
        <w:rPr>
          <w:rStyle w:val="Carpredefinitoparagrafo"/>
          <w:rFonts w:eastAsia="Times New Roman"/>
          <w:color w:val="000000"/>
        </w:rPr>
        <w:t>.</w:t>
      </w:r>
    </w:p>
    <w:p>
      <w:pPr>
        <w:pStyle w:val="Normale"/>
        <w:bidi w:val="0"/>
        <w:jc w:val="left"/>
        <w:rPr>
          <w:rFonts w:eastAsia="Times New Roman"/>
          <w:color w:val="000000"/>
        </w:rPr>
      </w:pPr>
      <w:r>
        <w:rPr>
          <w:rFonts w:eastAsia="Times New Roman"/>
          <w:color w:val="000000"/>
        </w:rPr>
        <w:t>Si specifica che le richieste devono consentire l'individuazione del dato, del documento o dell'informazione richiesti e che non sono ammissibili richieste meramente esplorative e generiche.</w:t>
      </w:r>
    </w:p>
    <w:p>
      <w:pPr>
        <w:pStyle w:val="Normale"/>
        <w:bidi w:val="0"/>
        <w:jc w:val="left"/>
        <w:rPr/>
      </w:pPr>
      <w:r>
        <w:rPr>
          <w:rStyle w:val="Carpredefinitoparagrafo"/>
          <w:rFonts w:eastAsia="Times New Roman"/>
          <w:b/>
          <w:bCs/>
          <w:color w:val="000000"/>
        </w:rPr>
        <w:t>COME ESERCITARE IL DIRITTO</w:t>
      </w:r>
    </w:p>
    <w:p>
      <w:pPr>
        <w:pStyle w:val="Normale"/>
        <w:bidi w:val="0"/>
        <w:jc w:val="left"/>
        <w:rPr>
          <w:rFonts w:eastAsia="Times New Roman"/>
          <w:color w:val="000000"/>
        </w:rPr>
      </w:pPr>
      <w:r>
        <w:rPr>
          <w:rFonts w:eastAsia="Times New Roman"/>
          <w:color w:val="000000"/>
        </w:rPr>
        <w:t>La richiesta è gratuita, non deve essere motivata e va indirizzata a MONTEFELTRO SERVIZI SRL - Ufficio Trasparenza - Via RIno Molari 8/ 10 Novalfeltria (RN).</w:t>
      </w:r>
    </w:p>
    <w:p>
      <w:pPr>
        <w:pStyle w:val="Normale"/>
        <w:bidi w:val="0"/>
        <w:jc w:val="left"/>
        <w:rPr/>
      </w:pPr>
      <w:r>
        <w:rPr>
          <w:rStyle w:val="Carpredefinitoparagrafo"/>
          <w:rFonts w:eastAsia="Times New Roman"/>
          <w:color w:val="000000"/>
        </w:rPr>
        <w:t>Può essere redatta su modulo appositamente predisposto (</w:t>
      </w:r>
      <w:r>
        <w:rPr>
          <w:rStyle w:val="Carpredefinitoparagrafo"/>
          <w:rFonts w:eastAsia="Times New Roman"/>
          <w:color w:val="174899"/>
          <w:shd w:fill="FFFF00" w:val="clear"/>
        </w:rPr>
        <w:t>Scarica modulo</w:t>
      </w:r>
      <w:r>
        <w:rPr>
          <w:rStyle w:val="Carpredefinitoparagrafo"/>
          <w:rFonts w:eastAsia="Times New Roman"/>
          <w:color w:val="000000"/>
        </w:rPr>
        <w:t>) e presentata con le seguenti modalità:</w:t>
      </w:r>
    </w:p>
    <w:p>
      <w:pPr>
        <w:pStyle w:val="Normale"/>
        <w:numPr>
          <w:ilvl w:val="0"/>
          <w:numId w:val="1"/>
        </w:numPr>
        <w:bidi w:val="0"/>
        <w:spacing w:before="100" w:after="225"/>
        <w:jc w:val="left"/>
        <w:rPr/>
      </w:pPr>
      <w:r>
        <w:rPr>
          <w:rStyle w:val="Carpredefinitoparagrafo"/>
          <w:rFonts w:eastAsia="Times New Roman"/>
          <w:color w:val="000000"/>
        </w:rPr>
        <w:t>via P.E.C. all'indirizzo : montefeltroservizi@pec.it</w:t>
      </w:r>
    </w:p>
    <w:p>
      <w:pPr>
        <w:pStyle w:val="Normale"/>
        <w:numPr>
          <w:ilvl w:val="0"/>
          <w:numId w:val="1"/>
        </w:numPr>
        <w:bidi w:val="0"/>
        <w:spacing w:before="100" w:after="225"/>
        <w:jc w:val="left"/>
        <w:rPr/>
      </w:pPr>
      <w:r>
        <w:rPr>
          <w:rStyle w:val="Carpredefinitoparagrafo"/>
          <w:rFonts w:eastAsia="Times New Roman"/>
          <w:color w:val="000000"/>
        </w:rPr>
        <w:t xml:space="preserve">via e-mail all'indirizzo : </w:t>
      </w:r>
      <w:hyperlink r:id="rId3" w:tgtFrame="_top">
        <w:r>
          <w:rPr>
            <w:rStyle w:val="CollegamentoInternet"/>
            <w:rFonts w:eastAsia="Times New Roman"/>
          </w:rPr>
          <w:t>anticorruzione@montefeltroservizi.it</w:t>
        </w:r>
      </w:hyperlink>
      <w:r>
        <w:rPr>
          <w:rStyle w:val="Carpredefinitoparagrafo"/>
          <w:rFonts w:eastAsia="Times New Roman"/>
          <w:color w:val="000000"/>
        </w:rPr>
        <w:t xml:space="preserve"> </w:t>
      </w:r>
    </w:p>
    <w:p>
      <w:pPr>
        <w:pStyle w:val="Normale"/>
        <w:numPr>
          <w:ilvl w:val="0"/>
          <w:numId w:val="1"/>
        </w:numPr>
        <w:bidi w:val="0"/>
        <w:spacing w:before="100" w:after="225"/>
        <w:jc w:val="left"/>
        <w:rPr>
          <w:rFonts w:eastAsia="Times New Roman"/>
          <w:color w:val="000000"/>
        </w:rPr>
      </w:pPr>
      <w:r>
        <w:rPr>
          <w:rFonts w:eastAsia="Times New Roman"/>
          <w:color w:val="000000"/>
        </w:rPr>
        <w:t>tramite posta raccomandata indirizzata a: MONTEFELTRO SERVIZI SRL - Ufficio Trasparenza - Via RIno Molari 8/ 10 Novalfeltria (RN).</w:t>
      </w:r>
    </w:p>
    <w:p>
      <w:pPr>
        <w:pStyle w:val="Normale"/>
        <w:bidi w:val="0"/>
        <w:jc w:val="left"/>
        <w:rPr/>
      </w:pPr>
      <w:r>
        <w:rPr>
          <w:rStyle w:val="Carpredefinitoparagrafo"/>
          <w:rFonts w:eastAsia="Times New Roman"/>
          <w:b/>
          <w:bCs/>
          <w:color w:val="000000"/>
        </w:rPr>
        <w:t>N.B. Allegare copia di un documento d'identità in corso di validità</w:t>
      </w:r>
      <w:r>
        <w:rPr>
          <w:rStyle w:val="Carpredefinitoparagrafo"/>
          <w:rFonts w:eastAsia="Times New Roman"/>
          <w:color w:val="000000"/>
        </w:rPr>
        <w:t> (non occorre per le istanze sottoscritte con firma digitale).</w:t>
      </w:r>
    </w:p>
    <w:p>
      <w:pPr>
        <w:pStyle w:val="Normale"/>
        <w:bidi w:val="0"/>
        <w:jc w:val="left"/>
        <w:rPr>
          <w:rFonts w:eastAsia="Times New Roman"/>
          <w:color w:val="000000"/>
        </w:rPr>
      </w:pPr>
      <w:r>
        <w:rPr>
          <w:rFonts w:eastAsia="Times New Roman"/>
          <w:color w:val="000000"/>
        </w:rPr>
        <w:t>La domanda potrà essere anche consegnata a mano, previo appuntamento.</w:t>
      </w:r>
    </w:p>
    <w:p>
      <w:pPr>
        <w:pStyle w:val="Normale"/>
        <w:bidi w:val="0"/>
        <w:jc w:val="left"/>
        <w:rPr>
          <w:rFonts w:eastAsia="Times New Roman"/>
          <w:color w:val="000000"/>
        </w:rPr>
      </w:pPr>
      <w:r>
        <w:rPr>
          <w:rFonts w:eastAsia="Times New Roman"/>
          <w:color w:val="000000"/>
        </w:rPr>
        <w:t>Per prenotare l'appuntamento contattare:</w:t>
      </w:r>
    </w:p>
    <w:p>
      <w:pPr>
        <w:pStyle w:val="Normale"/>
        <w:bidi w:val="0"/>
        <w:jc w:val="left"/>
        <w:rPr/>
      </w:pPr>
      <w:r>
        <w:rPr>
          <w:rStyle w:val="Carpredefinitoparagrafo"/>
          <w:rFonts w:eastAsia="Times New Roman"/>
          <w:color w:val="000000"/>
        </w:rPr>
        <w:t>Mara Grazia</w:t>
        <w:br/>
        <w:t>tel.0541 926312</w:t>
        <w:br/>
        <w:t xml:space="preserve">e-mail </w:t>
      </w:r>
      <w:hyperlink r:id="rId4" w:tgtFrame="_top">
        <w:r>
          <w:rPr>
            <w:rStyle w:val="CollegamentoInternet"/>
            <w:rFonts w:eastAsia="Times New Roman"/>
          </w:rPr>
          <w:t>info@montefeltroservizi.it</w:t>
        </w:r>
      </w:hyperlink>
    </w:p>
    <w:p>
      <w:pPr>
        <w:pStyle w:val="Normale"/>
        <w:bidi w:val="0"/>
        <w:jc w:val="left"/>
        <w:rPr>
          <w:rFonts w:eastAsia="Times New Roman"/>
          <w:color w:val="000000"/>
        </w:rPr>
      </w:pPr>
      <w:r>
        <w:rPr>
          <w:rFonts w:eastAsia="Times New Roman"/>
          <w:color w:val="000000"/>
        </w:rPr>
        <w:t>Il procedimento di accesso civico deve concludersi con provvedimento espresso e motivato nel termine di 30 giorni dalla presentazione dell'istanza con la comunicazione al richiedente e agli eventuali controinteressati. In caso di accoglimento, MONTEFELTRO SERVIZI SRL  provvede a trasmettere tempestivamente al richiedente i dati o i documenti richiesti. In caso di accoglimento della richiesta di accesso civico nonostante l'opposizione del controinteressato, salvi i casi di comprovata indifferibilità, MONTEFELTRO SERVIZI SRL ne dà comunicazione al controinteressato e provvede a trasmettere al richiedente i dati o i documenti richiesti non prima di quindici giorni dalla ricezione della stessa comunicazione da parte del controinteressato. Il rifiuto, il differimento e la limitazione dell'accesso devono essere motivati con riferimento ai casi e ai limiti stabiliti dall'articolo 5 bis.</w:t>
      </w:r>
    </w:p>
    <w:p>
      <w:pPr>
        <w:pStyle w:val="Normale"/>
        <w:bidi w:val="0"/>
        <w:jc w:val="left"/>
        <w:rPr/>
      </w:pPr>
      <w:r>
        <w:rPr>
          <w:rStyle w:val="Carpredefinitoparagrafo"/>
          <w:rFonts w:eastAsia="Times New Roman"/>
          <w:b/>
          <w:bCs/>
          <w:color w:val="000000"/>
        </w:rPr>
        <w:t>RICHIESTA DI RIESAME</w:t>
      </w:r>
    </w:p>
    <w:p>
      <w:pPr>
        <w:pStyle w:val="Normale"/>
        <w:bidi w:val="0"/>
        <w:jc w:val="left"/>
        <w:rPr>
          <w:rFonts w:eastAsia="Times New Roman"/>
          <w:color w:val="000000"/>
        </w:rPr>
      </w:pPr>
      <w:r>
        <w:rPr>
          <w:rFonts w:eastAsia="Times New Roman"/>
          <w:color w:val="000000"/>
        </w:rPr>
        <w:t>Nei casi di diniego totale o parziale dell'accesso o di mancata risposta entro il termine previsto da parte dell'ufficio detentore dei dati, il richiedente può presentare richiesta di riesame al Responsabile della prevenzione della corruzione e della trasparenza, ai sensi dell'art. 5, comma 7, D.Lgs. 33/2013, inviando la richiesta ai seguenti recapiti:</w:t>
      </w:r>
    </w:p>
    <w:p>
      <w:pPr>
        <w:pStyle w:val="Normale"/>
        <w:numPr>
          <w:ilvl w:val="0"/>
          <w:numId w:val="2"/>
        </w:numPr>
        <w:bidi w:val="0"/>
        <w:spacing w:before="100" w:after="225"/>
        <w:jc w:val="left"/>
        <w:rPr/>
      </w:pPr>
      <w:r>
        <w:rPr>
          <w:rStyle w:val="Carpredefinitoparagrafo"/>
          <w:rFonts w:eastAsia="Times New Roman"/>
          <w:color w:val="000000"/>
        </w:rPr>
        <w:t>via P.E.C. all'indirizzo : montefeltroservizi@pec.it</w:t>
      </w:r>
    </w:p>
    <w:p>
      <w:pPr>
        <w:pStyle w:val="Normale"/>
        <w:numPr>
          <w:ilvl w:val="0"/>
          <w:numId w:val="2"/>
        </w:numPr>
        <w:bidi w:val="0"/>
        <w:spacing w:before="100" w:after="225"/>
        <w:jc w:val="left"/>
        <w:rPr/>
      </w:pPr>
      <w:r>
        <w:rPr>
          <w:rStyle w:val="Carpredefinitoparagrafo"/>
          <w:rFonts w:eastAsia="Times New Roman"/>
          <w:color w:val="000000"/>
        </w:rPr>
        <w:t>via e-mail all'indirizzo : info@montefeltroservizi.it</w:t>
      </w:r>
    </w:p>
    <w:p>
      <w:pPr>
        <w:pStyle w:val="Normale"/>
        <w:numPr>
          <w:ilvl w:val="0"/>
          <w:numId w:val="2"/>
        </w:numPr>
        <w:bidi w:val="0"/>
        <w:spacing w:before="100" w:after="225"/>
        <w:jc w:val="left"/>
        <w:rPr>
          <w:rFonts w:eastAsia="Times New Roman"/>
          <w:color w:val="000000"/>
        </w:rPr>
      </w:pPr>
      <w:r>
        <w:rPr>
          <w:rFonts w:eastAsia="Times New Roman"/>
          <w:color w:val="000000"/>
        </w:rPr>
        <w:t>tramite posta raccomandata indirizzata a:  MONTEFELTRO SERVIZI SRL - Ufficio Trasparenza - Via Rino Molari 8/ 10 Novalfeltria (RN).</w:t>
      </w:r>
    </w:p>
    <w:p>
      <w:pPr>
        <w:pStyle w:val="Normale"/>
        <w:bidi w:val="0"/>
        <w:jc w:val="left"/>
        <w:rPr>
          <w:rFonts w:eastAsia="Times New Roman"/>
          <w:color w:val="000000"/>
        </w:rPr>
      </w:pPr>
      <w:r>
        <w:rPr>
          <w:rFonts w:eastAsia="Times New Roman"/>
          <w:color w:val="000000"/>
        </w:rPr>
        <w:t>Alla richiesta di riesame, sottoscritta dal richiedente e accompagnata da copia di un documento di identità in corso di validità (non necessario in caso di firma digitale), dovrà allegarsi la richiesta presentata all'ufficio detentore dei dati in prima istanza, la risposta fornita dallo stesso ufficio ed eventuali relativi allegati .Il Responsabile della prevenzione, della corruzione e della trasparenza decide con provvedimento motivato, entro il termine di 20 giorni, salvo il maggior termine previsto dall'articolo 5-bis, comma 2, lettera a), D.Lgs. 33/2013, nel caso di interpello del Garante per la protezione dei dati personali.</w:t>
      </w:r>
    </w:p>
    <w:p>
      <w:pPr>
        <w:pStyle w:val="Normale"/>
        <w:bidi w:val="0"/>
        <w:jc w:val="left"/>
        <w:rPr/>
      </w:pPr>
      <w:r>
        <w:rPr>
          <w:rStyle w:val="Carpredefinitoparagrafo"/>
          <w:rFonts w:eastAsia="Times New Roman"/>
          <w:b/>
          <w:bCs/>
          <w:color w:val="000000"/>
        </w:rPr>
        <w:t>TUTELA</w:t>
      </w:r>
    </w:p>
    <w:p>
      <w:pPr>
        <w:pStyle w:val="Normale"/>
        <w:bidi w:val="0"/>
        <w:jc w:val="left"/>
        <w:rPr>
          <w:rFonts w:eastAsia="Times New Roman"/>
          <w:color w:val="000000"/>
        </w:rPr>
      </w:pPr>
      <w:r>
        <w:rPr>
          <w:rFonts w:eastAsia="Times New Roman"/>
          <w:color w:val="000000"/>
        </w:rPr>
        <w:t>Nei casi di diniego totale o parziale dell'accesso o di mancata risposta entro il termine previsto da parte dell'Ufficio detentore dei dati, o avverso la decisione in sede di riesame del Responsabile della prevenzione, della corruzione e della trasparenza, o in caso di sua mancata risposta entro il termine previsto, il richiedente può presentare ricorso al Tribunale amministrativo regionale ai sensi dell'art. 116 del Codice del processo amministrativo (D.Lgs. 2 luglio 2010, n. 104).</w:t>
      </w:r>
    </w:p>
    <w:p>
      <w:pPr>
        <w:pStyle w:val="Normale"/>
        <w:bidi w:val="0"/>
        <w:jc w:val="left"/>
        <w:rPr>
          <w:rFonts w:eastAsia="Times New Roman"/>
          <w:color w:val="000000"/>
        </w:rPr>
      </w:pPr>
      <w:r>
        <w:rPr>
          <w:rFonts w:eastAsia="Times New Roman"/>
          <w:color w:val="000000"/>
        </w:rPr>
        <w:t>Resta ferma comunque la possibilità di ricorrere al Tribunale amministrativo regionale anche senza presentare richiesta di riesame.</w:t>
      </w:r>
    </w:p>
    <w:p>
      <w:pPr>
        <w:pStyle w:val="Normale"/>
        <w:bidi w:val="0"/>
        <w:jc w:val="left"/>
        <w:rPr/>
      </w:pPr>
      <w:r>
        <w:rPr>
          <w:rStyle w:val="Carpredefinitoparagrafo"/>
          <w:rFonts w:eastAsia="Times New Roman"/>
          <w:color w:val="000000"/>
        </w:rPr>
        <w:t>Si precisa che i dati raccolti e pervenuti all’Amministrazione saranno trattati nel rispetto del Regolamento UE 679/2016 GDPR “Codice in materia di protezione dei dati personali” e delle disposizioni di legge analoghe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fixed"/>
  </w:font>
  <w:font w:name="Wingdings">
    <w:charset w:val="02"/>
    <w:family w:val="auto"/>
    <w:pitch w:val="variable"/>
  </w:font>
  <w:font w:name="Liberation Sans">
    <w:altName w:val="Arial"/>
    <w:charset w:val="00"/>
    <w:family w:val="swiss"/>
    <w:pitch w:val="variable"/>
  </w:font>
  <w:font w:name="Apto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character" w:styleId="Collegamentoipertestuale">
    <w:name w:val="Collegamento ipertestuale"/>
    <w:basedOn w:val="Carpredefinitoparagrafo"/>
    <w:qFormat/>
    <w:rPr>
      <w:color w:val="0000FF"/>
      <w:u w:val="single"/>
    </w:rPr>
  </w:style>
  <w:style w:type="character" w:styleId="CollegamentoInternet">
    <w:name w:val="Collegamento Internet"/>
    <w:rPr>
      <w:color w:val="000080"/>
      <w:u w:val="single"/>
      <w:lang w:val="zxx" w:eastAsia="zxx" w:bidi="zxx"/>
    </w:rPr>
  </w:style>
  <w:style w:type="character" w:styleId="CollegamentoInternetvisitato">
    <w:name w:val="Collegamento Internet visitato"/>
    <w:rPr>
      <w:color w:val="800000"/>
      <w:u w:val="single"/>
      <w:lang w:val="zxx" w:eastAsia="zxx" w:bidi="zxx"/>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cs="Times New Roman"/>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cs="Times New Roman"/>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lineRule="auto" w:line="240" w:before="0" w:after="0"/>
    </w:pPr>
    <w:rPr>
      <w:rFonts w:ascii="Aptos" w:hAnsi="Aptos" w:cs="Aptos" w:eastAsia="NSimSun"/>
      <w:color w:val="auto"/>
      <w:kern w:val="0"/>
      <w:sz w:val="24"/>
      <w:szCs w:val="24"/>
      <w:lang w:eastAsia="it-IT" w:val="it-IT"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nticorruzione.it/portal/rest/jcr/repository/collaboration/Digital Assets/anacdocs/Attivita/Atti/determinazioni/2016/1309/del.1309.2016.det.LNfoia.pdf" TargetMode="External"/><Relationship Id="rId3" Type="http://schemas.openxmlformats.org/officeDocument/2006/relationships/hyperlink" Target="mailto:anticorruzione@montefeltroservizi.it" TargetMode="External"/><Relationship Id="rId4" Type="http://schemas.openxmlformats.org/officeDocument/2006/relationships/hyperlink" Target="mailto:info@montefeltroservizi.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LibreOffice/7.2.2.2$Windows_X86_64 LibreOffice_project/02b2acce88a210515b4a5bb2e46cbfb63fe97d56</Application>
  <AppVersion>15.0000</AppVersion>
  <Pages>2</Pages>
  <Words>688</Words>
  <Characters>4197</Characters>
  <CharactersWithSpaces>4856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2026-04-08T14:53:05Z</dcterms:created>
  <dc:creator/>
  <dc:description/>
  <dc:language>it-IT</dc:language>
  <cp:lastModifiedBy/>
  <dcterms:modified xsi:type="dcterms:W3CDTF">2026-04-08T14:54:43Z</dcterms:modified>
  <cp:revision>1</cp:revision>
  <dc:subject/>
  <dc:title/>
</cp:coreProperties>
</file>